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2435" w14:textId="77777777" w:rsidR="008D726D" w:rsidRDefault="008D726D" w:rsidP="008D726D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66F2C89A" w14:textId="77777777" w:rsidR="008D726D" w:rsidRDefault="008D726D" w:rsidP="008D726D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20F9022F" w14:textId="7771E1DD" w:rsidR="00DD05C5" w:rsidRPr="00DD05C5" w:rsidRDefault="00DD05C5" w:rsidP="008D726D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2D7ECB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I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nvestment Opportunity </w:t>
      </w:r>
    </w:p>
    <w:p w14:paraId="0BD57794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>We are pleased to present a highly compelling and fully transparent investment opportunity, open to both private and institutional investors seeking exposure to high-value natural resource assets across Africa.</w:t>
      </w:r>
    </w:p>
    <w:p w14:paraId="17592C94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>Our leadership team brings over 40 years of individual experience within the African energy and resources sector, underpinned by long-standing relationships with key governmental stakeholders that remain active today. This continuity of access and trust provides a unique advantage in securing and advancing resource opportunities at both national and regional levels.</w:t>
      </w:r>
    </w:p>
    <w:p w14:paraId="530FEC00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A clear demonstration of our capability can be seen in a landmark transaction completed in July 2011, where a resource asset was sold for approximately 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$295 million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. At that time, oil prices averaged around 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$75 per barrel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, and the Government of Liberia directly benefited with proceeds of approximately 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$100 million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40588A0D" w14:textId="77777777" w:rsidR="008D726D" w:rsidRDefault="008D726D" w:rsidP="008D726D">
      <w:pPr>
        <w:spacing w:after="0" w:line="240" w:lineRule="auto"/>
        <w:outlineLvl w:val="3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24DDABB8" w14:textId="687A8BF8" w:rsidR="00DD05C5" w:rsidRPr="00DD05C5" w:rsidRDefault="00DD05C5" w:rsidP="008D726D">
      <w:pPr>
        <w:spacing w:after="0" w:line="240" w:lineRule="auto"/>
        <w:outlineLvl w:val="3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Market Value Analysis – Then vs Now</w:t>
      </w:r>
    </w:p>
    <w:p w14:paraId="67118503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>Since 2011, global energy markets have undergone significant structural shifts:</w:t>
      </w:r>
    </w:p>
    <w:p w14:paraId="2628B5C2" w14:textId="77777777" w:rsidR="00DD05C5" w:rsidRPr="00DD05C5" w:rsidRDefault="00DD05C5" w:rsidP="008D726D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Oil prices in 2026 have traded materially higher on average compared to 2011 levels </w:t>
      </w:r>
    </w:p>
    <w:p w14:paraId="02D19C03" w14:textId="77777777" w:rsidR="00DD05C5" w:rsidRPr="00DD05C5" w:rsidRDefault="00DD05C5" w:rsidP="008D726D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Increased global demand for secure and diversified energy supply has elevated asset valuations </w:t>
      </w:r>
    </w:p>
    <w:p w14:paraId="3E5ACBF9" w14:textId="77777777" w:rsidR="00DD05C5" w:rsidRPr="00DD05C5" w:rsidRDefault="00DD05C5" w:rsidP="008D726D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Strategic importance of African reserves has grown due to geopolitical and supply chain pressures </w:t>
      </w:r>
    </w:p>
    <w:p w14:paraId="7B701923" w14:textId="77777777" w:rsidR="008D726D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Applying a conservative proportional analysis based on commodity price appreciation alone, a comparable asset transacted today could reasonably command a </w:t>
      </w:r>
    </w:p>
    <w:p w14:paraId="785548F2" w14:textId="77777777" w:rsidR="008D726D" w:rsidRDefault="008D726D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</w:p>
    <w:p w14:paraId="3C4FE1BB" w14:textId="16814589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substantially higher valuation multiple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, potentially exceeding 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$400–$600 million+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>, depending on reserve size, licensing position, and development status.</w:t>
      </w:r>
    </w:p>
    <w:p w14:paraId="5F939E58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>This does not account for additional upside driven by:</w:t>
      </w:r>
    </w:p>
    <w:p w14:paraId="3D2E86E3" w14:textId="77777777" w:rsidR="00DD05C5" w:rsidRPr="00DD05C5" w:rsidRDefault="00DD05C5" w:rsidP="008D726D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Advances in extraction technologies </w:t>
      </w:r>
    </w:p>
    <w:p w14:paraId="3CF9820A" w14:textId="77777777" w:rsidR="00DD05C5" w:rsidRPr="00DD05C5" w:rsidRDefault="00DD05C5" w:rsidP="008D726D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Increased competition for Tier-1 African assets </w:t>
      </w:r>
    </w:p>
    <w:p w14:paraId="4AFE8FBA" w14:textId="77777777" w:rsidR="00DD05C5" w:rsidRPr="00DD05C5" w:rsidRDefault="00DD05C5" w:rsidP="008D726D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Growing demand for associated minerals critical to modern energy systems </w:t>
      </w:r>
    </w:p>
    <w:p w14:paraId="73FEBA4C" w14:textId="77777777" w:rsidR="008D726D" w:rsidRDefault="008D726D" w:rsidP="008D726D">
      <w:pPr>
        <w:spacing w:after="0" w:line="240" w:lineRule="auto"/>
        <w:outlineLvl w:val="3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22DCA119" w14:textId="7ADC643F" w:rsidR="00DD05C5" w:rsidRPr="00DD05C5" w:rsidRDefault="00DD05C5" w:rsidP="008D726D">
      <w:pPr>
        <w:spacing w:after="0" w:line="240" w:lineRule="auto"/>
        <w:outlineLvl w:val="3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Strategic Opportunity</w:t>
      </w:r>
    </w:p>
    <w:p w14:paraId="051CFD59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Africa remains one of the most resource-rich yet underdeveloped regions globally. As the world continues to seek 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alternative and secure oil and gas sources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>, alongside critical minerals required for energy transition and industrial growth, the continent is uniquely positioned to meet this demand.</w:t>
      </w:r>
    </w:p>
    <w:p w14:paraId="442FFAD3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>Our current focus includes:</w:t>
      </w:r>
    </w:p>
    <w:p w14:paraId="7FB65308" w14:textId="77777777" w:rsidR="00DD05C5" w:rsidRPr="00DD05C5" w:rsidRDefault="00DD05C5" w:rsidP="008D726D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Oil and gas exploration and development </w:t>
      </w:r>
    </w:p>
    <w:p w14:paraId="109C46B5" w14:textId="77777777" w:rsidR="00DD05C5" w:rsidRPr="00DD05C5" w:rsidRDefault="00DD05C5" w:rsidP="008D726D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Identification of high-demand mineral assets aligned with global market needs </w:t>
      </w:r>
    </w:p>
    <w:p w14:paraId="56513757" w14:textId="77777777" w:rsidR="00DD05C5" w:rsidRPr="00DD05C5" w:rsidRDefault="00DD05C5" w:rsidP="008D726D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Expansion into additional resource sectors where our team has proven operational success </w:t>
      </w:r>
    </w:p>
    <w:p w14:paraId="3D72399D" w14:textId="77777777" w:rsidR="008D726D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>With a demonstrable track record of securing government-backed agreements and delivering high-value exits, we are positioned to replicate and scale past successes in today’s significantly stronger market environment.</w:t>
      </w:r>
    </w:p>
    <w:p w14:paraId="76049415" w14:textId="77777777" w:rsidR="008D726D" w:rsidRDefault="008D726D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</w:p>
    <w:p w14:paraId="6CDBBE68" w14:textId="77777777" w:rsidR="00A42F29" w:rsidRDefault="00A42F29" w:rsidP="008D726D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0E7FB9A2" w14:textId="32E74200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lastRenderedPageBreak/>
        <w:t>Investor Proposition</w:t>
      </w:r>
    </w:p>
    <w:p w14:paraId="55013EFD" w14:textId="77777777" w:rsidR="00DD05C5" w:rsidRPr="00DD05C5" w:rsidRDefault="00DD05C5" w:rsidP="008D726D">
      <w:pPr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Proven leadership with decades of in-region experience </w:t>
      </w:r>
    </w:p>
    <w:p w14:paraId="2BDA4029" w14:textId="77777777" w:rsidR="00DD05C5" w:rsidRPr="00DD05C5" w:rsidRDefault="00DD05C5" w:rsidP="008D726D">
      <w:pPr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Established government relationships with ongoing support </w:t>
      </w:r>
    </w:p>
    <w:p w14:paraId="6EDC2CF9" w14:textId="77777777" w:rsidR="00DD05C5" w:rsidRPr="00DD05C5" w:rsidRDefault="00DD05C5" w:rsidP="008D726D">
      <w:pPr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Historically validated returns with clear benchmark transactions </w:t>
      </w:r>
    </w:p>
    <w:p w14:paraId="0FB6429F" w14:textId="77777777" w:rsidR="00DD05C5" w:rsidRPr="00DD05C5" w:rsidRDefault="00DD05C5" w:rsidP="008D726D">
      <w:pPr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Exposure to assets with strong upside linked to global energy demand </w:t>
      </w:r>
    </w:p>
    <w:p w14:paraId="5E269278" w14:textId="77777777" w:rsidR="00DD05C5" w:rsidRDefault="00DD05C5" w:rsidP="008D726D">
      <w:pPr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Full transparency and disciplined governance throughout </w:t>
      </w:r>
    </w:p>
    <w:p w14:paraId="1EC82DB0" w14:textId="77777777" w:rsidR="008D726D" w:rsidRPr="00DD05C5" w:rsidRDefault="008D726D" w:rsidP="008D726D">
      <w:pPr>
        <w:spacing w:after="0" w:line="240" w:lineRule="auto"/>
        <w:ind w:left="720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</w:p>
    <w:p w14:paraId="6040319F" w14:textId="44B6D8B0" w:rsidR="00DD05C5" w:rsidRPr="00DD05C5" w:rsidRDefault="00DD05C5" w:rsidP="008D726D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Conclusion</w:t>
      </w:r>
    </w:p>
    <w:p w14:paraId="19BC786E" w14:textId="507887A1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This opportunity represents a rare convergence of 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experience, access, and timing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. With market conditions now more </w:t>
      </w:r>
      <w:r w:rsidR="00380E2F"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>favourable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 than at any point in the past decade, we are uniquely positioned to unlock substantial value from Africa’s natural resources.</w:t>
      </w:r>
    </w:p>
    <w:p w14:paraId="6E64DB5D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We invite interested parties to engage with us in confidence to explore participation in what we believe to be a 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highly scalable and potentially transformative investment opportunity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4E98B841" w14:textId="77777777" w:rsidR="008D726D" w:rsidRDefault="008D726D" w:rsidP="008D726D">
      <w:pPr>
        <w:tabs>
          <w:tab w:val="left" w:pos="6415"/>
        </w:tabs>
        <w:spacing w:after="0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55DC791C" w14:textId="008D7A47" w:rsidR="00DD05C5" w:rsidRPr="00DD05C5" w:rsidRDefault="00DD05C5" w:rsidP="008D726D">
      <w:pPr>
        <w:tabs>
          <w:tab w:val="left" w:pos="6415"/>
        </w:tabs>
        <w:spacing w:after="0"/>
        <w:rPr>
          <w:rFonts w:ascii="Century Gothic" w:hAnsi="Century Gothic"/>
          <w:sz w:val="22"/>
          <w:szCs w:val="22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African Energy &amp; Resources Investment Opportunity</w:t>
      </w:r>
    </w:p>
    <w:p w14:paraId="061F0955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Overview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br/>
        <w:t>A unique opportunity to participate in high-value oil, gas, and mineral assets across Africa, led by an experienced team with over 40 years of individual in-region expertise and long-standing government relationships.</w:t>
      </w:r>
    </w:p>
    <w:p w14:paraId="6FB5B367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Track Record</w:t>
      </w:r>
    </w:p>
    <w:p w14:paraId="28B07918" w14:textId="77777777" w:rsidR="00DD05C5" w:rsidRPr="00DD05C5" w:rsidRDefault="00DD05C5" w:rsidP="008D726D">
      <w:pPr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Proven execution in African resource markets </w:t>
      </w:r>
    </w:p>
    <w:p w14:paraId="15225F2B" w14:textId="77777777" w:rsidR="00DD05C5" w:rsidRPr="00DD05C5" w:rsidRDefault="00DD05C5" w:rsidP="008D726D">
      <w:pPr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Landmark transaction (July 2011): 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$295M asset sale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2A9B91B" w14:textId="77777777" w:rsidR="00DD05C5" w:rsidRPr="00DD05C5" w:rsidRDefault="00DD05C5" w:rsidP="008D726D">
      <w:pPr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Host government participation: 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$100M (Liberia)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85D4268" w14:textId="018F7060" w:rsidR="00DD05C5" w:rsidRPr="008D726D" w:rsidRDefault="00DD05C5" w:rsidP="008D726D">
      <w:pPr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Established credibility with government signatory support </w:t>
      </w:r>
    </w:p>
    <w:p w14:paraId="3E3AE2AF" w14:textId="5A70E710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Market Context</w:t>
      </w:r>
    </w:p>
    <w:p w14:paraId="74172A1D" w14:textId="77777777" w:rsidR="00DD05C5" w:rsidRPr="00DD05C5" w:rsidRDefault="00DD05C5" w:rsidP="008D726D">
      <w:pPr>
        <w:numPr>
          <w:ilvl w:val="0"/>
          <w:numId w:val="6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2011 oil price benchmark: ~$75/barrel </w:t>
      </w:r>
    </w:p>
    <w:p w14:paraId="37B792DF" w14:textId="77777777" w:rsidR="00DD05C5" w:rsidRPr="00DD05C5" w:rsidRDefault="00DD05C5" w:rsidP="008D726D">
      <w:pPr>
        <w:numPr>
          <w:ilvl w:val="0"/>
          <w:numId w:val="6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2026 market: structurally higher pricing environment </w:t>
      </w:r>
    </w:p>
    <w:p w14:paraId="188A4410" w14:textId="77777777" w:rsidR="00DD05C5" w:rsidRPr="00DD05C5" w:rsidRDefault="00DD05C5" w:rsidP="008D726D">
      <w:pPr>
        <w:numPr>
          <w:ilvl w:val="0"/>
          <w:numId w:val="6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Increased global demand for 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secure and alternative energy sources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0B61E57E" w14:textId="77777777" w:rsidR="00DD05C5" w:rsidRPr="00DD05C5" w:rsidRDefault="00DD05C5" w:rsidP="008D726D">
      <w:pPr>
        <w:numPr>
          <w:ilvl w:val="0"/>
          <w:numId w:val="6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Strategic shift toward Africa as a key supply region </w:t>
      </w:r>
    </w:p>
    <w:p w14:paraId="45ADD7C8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Current Opportunity</w:t>
      </w:r>
    </w:p>
    <w:p w14:paraId="393BF8A9" w14:textId="77777777" w:rsidR="00DD05C5" w:rsidRPr="00DD05C5" w:rsidRDefault="00DD05C5" w:rsidP="008D726D">
      <w:pPr>
        <w:numPr>
          <w:ilvl w:val="0"/>
          <w:numId w:val="7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Access to underdeveloped, high-potential assets </w:t>
      </w:r>
    </w:p>
    <w:p w14:paraId="4CBF3F8A" w14:textId="77777777" w:rsidR="00DD05C5" w:rsidRPr="00DD05C5" w:rsidRDefault="00DD05C5" w:rsidP="008D726D">
      <w:pPr>
        <w:numPr>
          <w:ilvl w:val="0"/>
          <w:numId w:val="7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Oil &amp; gas exploration and production </w:t>
      </w:r>
    </w:p>
    <w:p w14:paraId="5FF56A4C" w14:textId="77777777" w:rsidR="00DD05C5" w:rsidRPr="00DD05C5" w:rsidRDefault="00DD05C5" w:rsidP="008D726D">
      <w:pPr>
        <w:numPr>
          <w:ilvl w:val="0"/>
          <w:numId w:val="7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Expansion into critical minerals aligned with global demand </w:t>
      </w:r>
    </w:p>
    <w:p w14:paraId="64FBC54A" w14:textId="77777777" w:rsidR="00DD05C5" w:rsidRPr="00DD05C5" w:rsidRDefault="00DD05C5" w:rsidP="008D726D">
      <w:pPr>
        <w:numPr>
          <w:ilvl w:val="0"/>
          <w:numId w:val="7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Government-supported project pathways </w:t>
      </w:r>
    </w:p>
    <w:p w14:paraId="29CCA65D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Value Upside</w:t>
      </w:r>
    </w:p>
    <w:p w14:paraId="2B1708A4" w14:textId="77777777" w:rsidR="00DD05C5" w:rsidRPr="00DD05C5" w:rsidRDefault="00DD05C5" w:rsidP="008D726D">
      <w:pPr>
        <w:numPr>
          <w:ilvl w:val="0"/>
          <w:numId w:val="8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Historical benchmark: $295M valuation (2011) </w:t>
      </w:r>
    </w:p>
    <w:p w14:paraId="2DB340AA" w14:textId="77777777" w:rsidR="00DD05C5" w:rsidRPr="00DD05C5" w:rsidRDefault="00DD05C5" w:rsidP="008D726D">
      <w:pPr>
        <w:numPr>
          <w:ilvl w:val="0"/>
          <w:numId w:val="8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Estimated equivalent valuation today: 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$400M–$600M+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0C47F5E" w14:textId="77777777" w:rsidR="00DD05C5" w:rsidRPr="00DD05C5" w:rsidRDefault="00DD05C5" w:rsidP="008D726D">
      <w:pPr>
        <w:numPr>
          <w:ilvl w:val="0"/>
          <w:numId w:val="8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Additional upside from: </w:t>
      </w:r>
    </w:p>
    <w:p w14:paraId="1D57092D" w14:textId="77777777" w:rsidR="00DD05C5" w:rsidRPr="00DD05C5" w:rsidRDefault="00DD05C5" w:rsidP="008D726D">
      <w:pPr>
        <w:numPr>
          <w:ilvl w:val="1"/>
          <w:numId w:val="8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Commodity price appreciation </w:t>
      </w:r>
    </w:p>
    <w:p w14:paraId="2F07B686" w14:textId="77777777" w:rsidR="00DD05C5" w:rsidRPr="00DD05C5" w:rsidRDefault="00DD05C5" w:rsidP="008D726D">
      <w:pPr>
        <w:numPr>
          <w:ilvl w:val="1"/>
          <w:numId w:val="8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Technology improvements </w:t>
      </w:r>
    </w:p>
    <w:p w14:paraId="55F20ED7" w14:textId="77777777" w:rsidR="00DD05C5" w:rsidRPr="00DD05C5" w:rsidRDefault="00DD05C5" w:rsidP="008D726D">
      <w:pPr>
        <w:numPr>
          <w:ilvl w:val="1"/>
          <w:numId w:val="8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Increased global competition for reserves </w:t>
      </w:r>
    </w:p>
    <w:p w14:paraId="56773C9B" w14:textId="77777777" w:rsidR="00A42F29" w:rsidRDefault="00A42F29" w:rsidP="008D726D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01775ED3" w14:textId="77777777" w:rsidR="00A42F29" w:rsidRDefault="00A42F29" w:rsidP="008D726D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782893A4" w14:textId="77777777" w:rsidR="00A42F29" w:rsidRDefault="00A42F29" w:rsidP="008D726D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02E09509" w14:textId="77777777" w:rsidR="00A42F29" w:rsidRDefault="00A42F29" w:rsidP="008D726D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27924EF4" w14:textId="77777777" w:rsidR="00A42F29" w:rsidRDefault="00A42F29" w:rsidP="008D726D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423037FB" w14:textId="452495C4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Investment Highlights</w:t>
      </w:r>
    </w:p>
    <w:p w14:paraId="4EE064E9" w14:textId="77777777" w:rsidR="00DD05C5" w:rsidRPr="00DD05C5" w:rsidRDefault="00DD05C5" w:rsidP="008D726D">
      <w:pPr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lastRenderedPageBreak/>
        <w:t xml:space="preserve">Strong entry positioning in emerging assets </w:t>
      </w:r>
    </w:p>
    <w:p w14:paraId="118C187D" w14:textId="77777777" w:rsidR="00DD05C5" w:rsidRPr="00DD05C5" w:rsidRDefault="00DD05C5" w:rsidP="008D726D">
      <w:pPr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Proven leadership and execution capability </w:t>
      </w:r>
    </w:p>
    <w:p w14:paraId="46941EB8" w14:textId="77777777" w:rsidR="00DD05C5" w:rsidRPr="00DD05C5" w:rsidRDefault="00DD05C5" w:rsidP="008D726D">
      <w:pPr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Transparent structure and governance </w:t>
      </w:r>
    </w:p>
    <w:p w14:paraId="3B6B523C" w14:textId="77777777" w:rsidR="00DD05C5" w:rsidRPr="00DD05C5" w:rsidRDefault="00DD05C5" w:rsidP="008D726D">
      <w:pPr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Scalable portfolio potential </w:t>
      </w:r>
    </w:p>
    <w:p w14:paraId="3D8A8AC8" w14:textId="77777777" w:rsidR="00A42F29" w:rsidRDefault="00A42F29" w:rsidP="008D726D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183FFA42" w14:textId="7CC21AC9" w:rsidR="00380E2F" w:rsidRDefault="00DD05C5" w:rsidP="008D726D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Call to Action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br/>
        <w:t>We are currently engaging with select investors for participation.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br/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Expressions of interest are invited for early-stage allocation</w:t>
      </w:r>
    </w:p>
    <w:p w14:paraId="63298D53" w14:textId="77777777" w:rsidR="00A42F29" w:rsidRDefault="00A42F29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</w:p>
    <w:p w14:paraId="53201A01" w14:textId="77777777" w:rsidR="00380E2F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36"/>
          <w:sz w:val="22"/>
          <w:szCs w:val="22"/>
          <w:lang w:eastAsia="en-GB"/>
          <w14:ligatures w14:val="none"/>
        </w:rPr>
        <w:t>2. Financial Projection &amp; IRR Framework (Illustrative)</w:t>
      </w:r>
    </w:p>
    <w:p w14:paraId="3ED22C5B" w14:textId="1A47E4C5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Base Case Assumptions</w:t>
      </w:r>
    </w:p>
    <w:p w14:paraId="1FFC7394" w14:textId="77777777" w:rsidR="00DD05C5" w:rsidRPr="00DD05C5" w:rsidRDefault="00DD05C5" w:rsidP="008D726D">
      <w:pPr>
        <w:numPr>
          <w:ilvl w:val="0"/>
          <w:numId w:val="10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Entry valuation: $150M–$200M (early-stage positioning) </w:t>
      </w:r>
    </w:p>
    <w:p w14:paraId="32EACA69" w14:textId="77777777" w:rsidR="00DD05C5" w:rsidRPr="00DD05C5" w:rsidRDefault="00DD05C5" w:rsidP="008D726D">
      <w:pPr>
        <w:numPr>
          <w:ilvl w:val="0"/>
          <w:numId w:val="10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Exit valuation (5–7 years): $500M–$700M </w:t>
      </w:r>
    </w:p>
    <w:p w14:paraId="2F523D13" w14:textId="77777777" w:rsidR="00380E2F" w:rsidRDefault="00DD05C5" w:rsidP="008D726D">
      <w:pPr>
        <w:numPr>
          <w:ilvl w:val="0"/>
          <w:numId w:val="10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Based on comparable uplift from 2011 → 2026 market conditions </w:t>
      </w:r>
    </w:p>
    <w:p w14:paraId="37F709B2" w14:textId="00FDDBD2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Projected Returns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750"/>
        <w:gridCol w:w="750"/>
        <w:gridCol w:w="901"/>
        <w:gridCol w:w="1101"/>
      </w:tblGrid>
      <w:tr w:rsidR="00DD05C5" w:rsidRPr="00DD05C5" w14:paraId="1F007A23" w14:textId="77777777" w:rsidTr="00DD05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3BD15A" w14:textId="77777777" w:rsidR="00DD05C5" w:rsidRPr="00DD05C5" w:rsidRDefault="00DD05C5" w:rsidP="008D72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Scenario</w:t>
            </w:r>
          </w:p>
        </w:tc>
        <w:tc>
          <w:tcPr>
            <w:tcW w:w="0" w:type="auto"/>
            <w:vAlign w:val="center"/>
            <w:hideMark/>
          </w:tcPr>
          <w:p w14:paraId="60DB1B72" w14:textId="77777777" w:rsidR="00DD05C5" w:rsidRPr="00DD05C5" w:rsidRDefault="00DD05C5" w:rsidP="008D72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Entry</w:t>
            </w:r>
          </w:p>
        </w:tc>
        <w:tc>
          <w:tcPr>
            <w:tcW w:w="0" w:type="auto"/>
            <w:vAlign w:val="center"/>
            <w:hideMark/>
          </w:tcPr>
          <w:p w14:paraId="50B8D5A1" w14:textId="77777777" w:rsidR="00DD05C5" w:rsidRPr="00DD05C5" w:rsidRDefault="00DD05C5" w:rsidP="008D72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Exit</w:t>
            </w:r>
          </w:p>
        </w:tc>
        <w:tc>
          <w:tcPr>
            <w:tcW w:w="0" w:type="auto"/>
            <w:vAlign w:val="center"/>
            <w:hideMark/>
          </w:tcPr>
          <w:p w14:paraId="5DE86CEF" w14:textId="77777777" w:rsidR="00DD05C5" w:rsidRPr="00DD05C5" w:rsidRDefault="00DD05C5" w:rsidP="008D72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Multiple</w:t>
            </w:r>
          </w:p>
        </w:tc>
        <w:tc>
          <w:tcPr>
            <w:tcW w:w="0" w:type="auto"/>
            <w:vAlign w:val="center"/>
            <w:hideMark/>
          </w:tcPr>
          <w:p w14:paraId="38A7F8CC" w14:textId="77777777" w:rsidR="00DD05C5" w:rsidRPr="00DD05C5" w:rsidRDefault="00DD05C5" w:rsidP="008D72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IRR (5 yrs)</w:t>
            </w:r>
          </w:p>
        </w:tc>
      </w:tr>
      <w:tr w:rsidR="00DD05C5" w:rsidRPr="00DD05C5" w14:paraId="5A4EA726" w14:textId="77777777" w:rsidTr="00DD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A43E3" w14:textId="77777777" w:rsidR="00DD05C5" w:rsidRPr="00DD05C5" w:rsidRDefault="00DD05C5" w:rsidP="008D726D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  <w:t>Conservative</w:t>
            </w:r>
          </w:p>
        </w:tc>
        <w:tc>
          <w:tcPr>
            <w:tcW w:w="0" w:type="auto"/>
            <w:vAlign w:val="center"/>
            <w:hideMark/>
          </w:tcPr>
          <w:p w14:paraId="51EB5DFD" w14:textId="77777777" w:rsidR="00DD05C5" w:rsidRPr="00DD05C5" w:rsidRDefault="00DD05C5" w:rsidP="008D726D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  <w:t>$200M</w:t>
            </w:r>
          </w:p>
        </w:tc>
        <w:tc>
          <w:tcPr>
            <w:tcW w:w="0" w:type="auto"/>
            <w:vAlign w:val="center"/>
            <w:hideMark/>
          </w:tcPr>
          <w:p w14:paraId="4D819CEF" w14:textId="77777777" w:rsidR="00DD05C5" w:rsidRPr="00DD05C5" w:rsidRDefault="00DD05C5" w:rsidP="008D726D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  <w:t>$500M</w:t>
            </w:r>
          </w:p>
        </w:tc>
        <w:tc>
          <w:tcPr>
            <w:tcW w:w="0" w:type="auto"/>
            <w:vAlign w:val="center"/>
            <w:hideMark/>
          </w:tcPr>
          <w:p w14:paraId="006E577E" w14:textId="77777777" w:rsidR="00DD05C5" w:rsidRPr="00DD05C5" w:rsidRDefault="00DD05C5" w:rsidP="008D726D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  <w:t>2.5x</w:t>
            </w:r>
          </w:p>
        </w:tc>
        <w:tc>
          <w:tcPr>
            <w:tcW w:w="0" w:type="auto"/>
            <w:vAlign w:val="center"/>
            <w:hideMark/>
          </w:tcPr>
          <w:p w14:paraId="241F2802" w14:textId="77777777" w:rsidR="00DD05C5" w:rsidRPr="00DD05C5" w:rsidRDefault="00DD05C5" w:rsidP="008D726D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  <w:t>~20%</w:t>
            </w:r>
          </w:p>
        </w:tc>
      </w:tr>
      <w:tr w:rsidR="00DD05C5" w:rsidRPr="00DD05C5" w14:paraId="7C481EEF" w14:textId="77777777" w:rsidTr="00DD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F3AA8" w14:textId="77777777" w:rsidR="00DD05C5" w:rsidRPr="00DD05C5" w:rsidRDefault="00DD05C5" w:rsidP="008D726D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  <w:t>Base Case</w:t>
            </w:r>
          </w:p>
        </w:tc>
        <w:tc>
          <w:tcPr>
            <w:tcW w:w="0" w:type="auto"/>
            <w:vAlign w:val="center"/>
            <w:hideMark/>
          </w:tcPr>
          <w:p w14:paraId="4429F2BB" w14:textId="77777777" w:rsidR="00DD05C5" w:rsidRPr="00DD05C5" w:rsidRDefault="00DD05C5" w:rsidP="008D726D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  <w:t>$175M</w:t>
            </w:r>
          </w:p>
        </w:tc>
        <w:tc>
          <w:tcPr>
            <w:tcW w:w="0" w:type="auto"/>
            <w:vAlign w:val="center"/>
            <w:hideMark/>
          </w:tcPr>
          <w:p w14:paraId="1851D683" w14:textId="77777777" w:rsidR="00DD05C5" w:rsidRPr="00DD05C5" w:rsidRDefault="00DD05C5" w:rsidP="008D726D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  <w:t>$600M</w:t>
            </w:r>
          </w:p>
        </w:tc>
        <w:tc>
          <w:tcPr>
            <w:tcW w:w="0" w:type="auto"/>
            <w:vAlign w:val="center"/>
            <w:hideMark/>
          </w:tcPr>
          <w:p w14:paraId="169F2C9E" w14:textId="77777777" w:rsidR="00DD05C5" w:rsidRPr="00DD05C5" w:rsidRDefault="00DD05C5" w:rsidP="008D726D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  <w:t>3.4x</w:t>
            </w:r>
          </w:p>
        </w:tc>
        <w:tc>
          <w:tcPr>
            <w:tcW w:w="0" w:type="auto"/>
            <w:vAlign w:val="center"/>
            <w:hideMark/>
          </w:tcPr>
          <w:p w14:paraId="737F78BF" w14:textId="77777777" w:rsidR="00DD05C5" w:rsidRPr="00DD05C5" w:rsidRDefault="00DD05C5" w:rsidP="008D726D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  <w:t>~27–30%</w:t>
            </w:r>
          </w:p>
        </w:tc>
      </w:tr>
      <w:tr w:rsidR="00DD05C5" w:rsidRPr="00DD05C5" w14:paraId="0CD34A9B" w14:textId="77777777" w:rsidTr="00DD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7B839" w14:textId="77777777" w:rsidR="00DD05C5" w:rsidRPr="00DD05C5" w:rsidRDefault="00DD05C5" w:rsidP="008D726D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  <w:t>Upside</w:t>
            </w:r>
          </w:p>
        </w:tc>
        <w:tc>
          <w:tcPr>
            <w:tcW w:w="0" w:type="auto"/>
            <w:vAlign w:val="center"/>
            <w:hideMark/>
          </w:tcPr>
          <w:p w14:paraId="6FC35738" w14:textId="77777777" w:rsidR="00DD05C5" w:rsidRPr="00DD05C5" w:rsidRDefault="00DD05C5" w:rsidP="008D726D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  <w:t>$150M</w:t>
            </w:r>
          </w:p>
        </w:tc>
        <w:tc>
          <w:tcPr>
            <w:tcW w:w="0" w:type="auto"/>
            <w:vAlign w:val="center"/>
            <w:hideMark/>
          </w:tcPr>
          <w:p w14:paraId="33F5EA91" w14:textId="77777777" w:rsidR="00DD05C5" w:rsidRPr="00DD05C5" w:rsidRDefault="00DD05C5" w:rsidP="008D726D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  <w:t>$700M</w:t>
            </w:r>
          </w:p>
        </w:tc>
        <w:tc>
          <w:tcPr>
            <w:tcW w:w="0" w:type="auto"/>
            <w:vAlign w:val="center"/>
            <w:hideMark/>
          </w:tcPr>
          <w:p w14:paraId="7C3493D0" w14:textId="77777777" w:rsidR="00DD05C5" w:rsidRPr="00DD05C5" w:rsidRDefault="00DD05C5" w:rsidP="008D726D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  <w:t>4.6x</w:t>
            </w:r>
          </w:p>
        </w:tc>
        <w:tc>
          <w:tcPr>
            <w:tcW w:w="0" w:type="auto"/>
            <w:vAlign w:val="center"/>
            <w:hideMark/>
          </w:tcPr>
          <w:p w14:paraId="08179C49" w14:textId="77777777" w:rsidR="00DD05C5" w:rsidRPr="00DD05C5" w:rsidRDefault="00DD05C5" w:rsidP="008D726D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D05C5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:lang w:eastAsia="en-GB"/>
                <w14:ligatures w14:val="none"/>
              </w:rPr>
              <w:t>~35%+</w:t>
            </w:r>
          </w:p>
        </w:tc>
      </w:tr>
    </w:tbl>
    <w:p w14:paraId="20E1C49F" w14:textId="77777777" w:rsidR="00DD05C5" w:rsidRPr="00DD05C5" w:rsidRDefault="00DD05C5" w:rsidP="008D726D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Value Drivers</w:t>
      </w:r>
    </w:p>
    <w:p w14:paraId="1040D6F7" w14:textId="77777777" w:rsidR="00DD05C5" w:rsidRPr="00DD05C5" w:rsidRDefault="00DD05C5" w:rsidP="008D726D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Rising global energy demand </w:t>
      </w:r>
    </w:p>
    <w:p w14:paraId="228374FC" w14:textId="77777777" w:rsidR="00DD05C5" w:rsidRPr="00DD05C5" w:rsidRDefault="00DD05C5" w:rsidP="008D726D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Strategic repositioning of African reserves </w:t>
      </w:r>
    </w:p>
    <w:p w14:paraId="282BA451" w14:textId="77777777" w:rsidR="00DD05C5" w:rsidRPr="00DD05C5" w:rsidRDefault="00DD05C5" w:rsidP="008D726D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Government-backed project security </w:t>
      </w:r>
    </w:p>
    <w:p w14:paraId="2D4B76D1" w14:textId="77777777" w:rsidR="00DD05C5" w:rsidRPr="00DD05C5" w:rsidRDefault="00DD05C5" w:rsidP="008D726D">
      <w:pPr>
        <w:numPr>
          <w:ilvl w:val="0"/>
          <w:numId w:val="11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Expansion into high-demand minerals </w:t>
      </w:r>
    </w:p>
    <w:p w14:paraId="4319FD07" w14:textId="77777777" w:rsidR="00DD05C5" w:rsidRPr="00DD05C5" w:rsidRDefault="00DD05C5" w:rsidP="008D726D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Downside Protection</w:t>
      </w:r>
    </w:p>
    <w:p w14:paraId="570CCBDC" w14:textId="77777777" w:rsidR="00DD05C5" w:rsidRPr="00DD05C5" w:rsidRDefault="00DD05C5" w:rsidP="008D726D">
      <w:pPr>
        <w:numPr>
          <w:ilvl w:val="0"/>
          <w:numId w:val="12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Entry at early-stage valuation discount </w:t>
      </w:r>
    </w:p>
    <w:p w14:paraId="20F59A5B" w14:textId="77777777" w:rsidR="00DD05C5" w:rsidRPr="00DD05C5" w:rsidRDefault="00DD05C5" w:rsidP="008D726D">
      <w:pPr>
        <w:numPr>
          <w:ilvl w:val="0"/>
          <w:numId w:val="12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Asset-backed investment structure </w:t>
      </w:r>
    </w:p>
    <w:p w14:paraId="62F89BFC" w14:textId="77777777" w:rsidR="00380E2F" w:rsidRDefault="00DD05C5" w:rsidP="008D726D">
      <w:pPr>
        <w:numPr>
          <w:ilvl w:val="0"/>
          <w:numId w:val="12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Established governmental relationships reducing execution risk </w:t>
      </w:r>
    </w:p>
    <w:p w14:paraId="74FEA1BF" w14:textId="77777777" w:rsidR="00A42F29" w:rsidRDefault="00A42F29" w:rsidP="00A42F29">
      <w:pPr>
        <w:spacing w:after="0" w:line="240" w:lineRule="auto"/>
        <w:ind w:left="720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</w:p>
    <w:p w14:paraId="6BD1D753" w14:textId="77777777" w:rsidR="00380E2F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36"/>
          <w:sz w:val="22"/>
          <w:szCs w:val="22"/>
          <w:lang w:eastAsia="en-GB"/>
          <w14:ligatures w14:val="none"/>
        </w:rPr>
        <w:t>3. High-Impact Fundraising Version (More Urgent / Persuasive)</w:t>
      </w:r>
    </w:p>
    <w:p w14:paraId="6859A220" w14:textId="4C3A18AF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A Rare Entry Point </w:t>
      </w:r>
      <w:proofErr w:type="gramStart"/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Into</w:t>
      </w:r>
      <w:proofErr w:type="gramEnd"/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Africa’s Next Major Resource Cycle</w:t>
      </w:r>
    </w:p>
    <w:p w14:paraId="51ADA1A1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>Opportunities of this calibre are exceptionally rare.</w:t>
      </w:r>
    </w:p>
    <w:p w14:paraId="0D1E8EEF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In 2011, a comparable asset was sold for 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$295 million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 when oil traded at approximately 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$75 per barrel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. Today, with stronger market fundamentals, tighter global supply, and increased strategic demand for African resources, that same class of asset would command 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significantly higher valuations—potentially exceeding $600 million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685E1A73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>This is not a theoretical opportunity.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br/>
        <w:t>This is built on:</w:t>
      </w:r>
    </w:p>
    <w:p w14:paraId="7D298D62" w14:textId="77777777" w:rsidR="00DD05C5" w:rsidRPr="00DD05C5" w:rsidRDefault="00DD05C5" w:rsidP="008D726D">
      <w:pPr>
        <w:numPr>
          <w:ilvl w:val="0"/>
          <w:numId w:val="13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40+ years of direct, in-country experience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E21E01D" w14:textId="77777777" w:rsidR="00DD05C5" w:rsidRPr="00DD05C5" w:rsidRDefault="00DD05C5" w:rsidP="008D726D">
      <w:pPr>
        <w:numPr>
          <w:ilvl w:val="0"/>
          <w:numId w:val="13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Proven government relationships that remain active today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49F8796" w14:textId="77777777" w:rsidR="00DD05C5" w:rsidRPr="00DD05C5" w:rsidRDefault="00DD05C5" w:rsidP="008D726D">
      <w:pPr>
        <w:numPr>
          <w:ilvl w:val="0"/>
          <w:numId w:val="13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A track record of delivering nine-figure outcomes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721512B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>Global markets are shifting rapidly:</w:t>
      </w:r>
    </w:p>
    <w:p w14:paraId="0433C9FF" w14:textId="77777777" w:rsidR="00DD05C5" w:rsidRPr="00DD05C5" w:rsidRDefault="00DD05C5" w:rsidP="008D726D">
      <w:pPr>
        <w:numPr>
          <w:ilvl w:val="0"/>
          <w:numId w:val="14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Energy security is now a top geopolitical priority </w:t>
      </w:r>
    </w:p>
    <w:p w14:paraId="51D8FA47" w14:textId="77777777" w:rsidR="00DD05C5" w:rsidRPr="00DD05C5" w:rsidRDefault="00DD05C5" w:rsidP="008D726D">
      <w:pPr>
        <w:numPr>
          <w:ilvl w:val="0"/>
          <w:numId w:val="14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Traditional supply sources are under pressure </w:t>
      </w:r>
    </w:p>
    <w:p w14:paraId="0C0649F1" w14:textId="77777777" w:rsidR="00DD05C5" w:rsidRPr="00DD05C5" w:rsidRDefault="00DD05C5" w:rsidP="008D726D">
      <w:pPr>
        <w:numPr>
          <w:ilvl w:val="0"/>
          <w:numId w:val="14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Africa is emerging as a critical solution </w:t>
      </w:r>
    </w:p>
    <w:p w14:paraId="1CA035E2" w14:textId="77777777" w:rsidR="00A42F29" w:rsidRDefault="00A42F29" w:rsidP="008D726D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3366C7F1" w14:textId="77777777" w:rsidR="00A42F29" w:rsidRDefault="00A42F29" w:rsidP="008D726D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18B726B2" w14:textId="77777777" w:rsidR="00A42F29" w:rsidRDefault="00A42F29" w:rsidP="008D726D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684F555A" w14:textId="32EBBCCF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lastRenderedPageBreak/>
        <w:t>Positioning early is everything.</w:t>
      </w:r>
    </w:p>
    <w:p w14:paraId="468A3D61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We are now opening discussions with a limited number of investors to participate at 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pre-scale valuation levels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>, ahead of asset maturity and revaluation.</w:t>
      </w:r>
    </w:p>
    <w:p w14:paraId="40618A5B" w14:textId="77777777" w:rsidR="00DD05C5" w:rsidRPr="00DD05C5" w:rsidRDefault="00DD05C5" w:rsidP="008D726D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Why This Matters Now</w:t>
      </w:r>
    </w:p>
    <w:p w14:paraId="79058FE9" w14:textId="77777777" w:rsidR="00DD05C5" w:rsidRPr="00DD05C5" w:rsidRDefault="00DD05C5" w:rsidP="008D726D">
      <w:pPr>
        <w:numPr>
          <w:ilvl w:val="0"/>
          <w:numId w:val="15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Entry pricing reflects 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early-stage positioning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56EC917" w14:textId="77777777" w:rsidR="00DD05C5" w:rsidRPr="00DD05C5" w:rsidRDefault="00DD05C5" w:rsidP="008D726D">
      <w:pPr>
        <w:numPr>
          <w:ilvl w:val="0"/>
          <w:numId w:val="15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Exit potential reflects 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current global demand realities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70C041A" w14:textId="77777777" w:rsidR="00380E2F" w:rsidRDefault="00DD05C5" w:rsidP="008D726D">
      <w:pPr>
        <w:numPr>
          <w:ilvl w:val="0"/>
          <w:numId w:val="15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Timing aligns with a </w:t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new energy and resource cycle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FA2B218" w14:textId="77777777" w:rsidR="00380E2F" w:rsidRDefault="00380E2F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</w:p>
    <w:p w14:paraId="43661D48" w14:textId="661DC886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Investor Profile</w:t>
      </w:r>
    </w:p>
    <w:p w14:paraId="3F7E2474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>This opportunity is best suited to:</w:t>
      </w:r>
    </w:p>
    <w:p w14:paraId="6549530D" w14:textId="77777777" w:rsidR="00DD05C5" w:rsidRPr="00DD05C5" w:rsidRDefault="00DD05C5" w:rsidP="008D726D">
      <w:pPr>
        <w:numPr>
          <w:ilvl w:val="0"/>
          <w:numId w:val="16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Strategic investors </w:t>
      </w:r>
    </w:p>
    <w:p w14:paraId="4903FC8E" w14:textId="77777777" w:rsidR="00DD05C5" w:rsidRPr="00DD05C5" w:rsidRDefault="00DD05C5" w:rsidP="008D726D">
      <w:pPr>
        <w:numPr>
          <w:ilvl w:val="0"/>
          <w:numId w:val="16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Energy-focused funds </w:t>
      </w:r>
    </w:p>
    <w:p w14:paraId="261E3906" w14:textId="77777777" w:rsidR="00380E2F" w:rsidRDefault="00DD05C5" w:rsidP="008D726D">
      <w:pPr>
        <w:numPr>
          <w:ilvl w:val="0"/>
          <w:numId w:val="16"/>
        </w:num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 xml:space="preserve">Private capital seeking high-growth, asset-backed exposure </w:t>
      </w:r>
    </w:p>
    <w:p w14:paraId="4AEDBC11" w14:textId="77777777" w:rsidR="00A42F29" w:rsidRDefault="00A42F29" w:rsidP="008D726D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55FEAC76" w14:textId="77777777" w:rsidR="00A42F29" w:rsidRDefault="00A42F29" w:rsidP="008D726D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4E31BBD1" w14:textId="1D54B70A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Next Step</w:t>
      </w:r>
    </w:p>
    <w:p w14:paraId="64FF15BE" w14:textId="77777777" w:rsidR="00DD05C5" w:rsidRPr="00DD05C5" w:rsidRDefault="00DD05C5" w:rsidP="008D726D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</w:pP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t>We are selectively onboarding investors.</w:t>
      </w:r>
      <w:r w:rsidRPr="00DD05C5">
        <w:rPr>
          <w:rFonts w:ascii="Century Gothic" w:eastAsia="Times New Roman" w:hAnsi="Century Gothic" w:cs="Times New Roman"/>
          <w:kern w:val="0"/>
          <w:sz w:val="22"/>
          <w:szCs w:val="22"/>
          <w:lang w:eastAsia="en-GB"/>
          <w14:ligatures w14:val="none"/>
        </w:rPr>
        <w:br/>
      </w:r>
      <w:r w:rsidRPr="00DD05C5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  <w14:ligatures w14:val="none"/>
        </w:rPr>
        <w:t>Early engagement secures the strongest positioning.</w:t>
      </w:r>
    </w:p>
    <w:p w14:paraId="50148F32" w14:textId="77777777" w:rsidR="00DD05C5" w:rsidRPr="00DD05C5" w:rsidRDefault="00DD05C5" w:rsidP="00DD05C5"/>
    <w:sectPr w:rsidR="00DD05C5" w:rsidRPr="00DD05C5" w:rsidSect="008D726D">
      <w:headerReference w:type="default" r:id="rId7"/>
      <w:pgSz w:w="11906" w:h="16838"/>
      <w:pgMar w:top="737" w:right="1440" w:bottom="1021" w:left="119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635F3" w14:textId="77777777" w:rsidR="005101EA" w:rsidRDefault="005101EA" w:rsidP="00DD05C5">
      <w:pPr>
        <w:spacing w:after="0" w:line="240" w:lineRule="auto"/>
      </w:pPr>
      <w:r>
        <w:separator/>
      </w:r>
    </w:p>
  </w:endnote>
  <w:endnote w:type="continuationSeparator" w:id="0">
    <w:p w14:paraId="6FF9ABEA" w14:textId="77777777" w:rsidR="005101EA" w:rsidRDefault="005101EA" w:rsidP="00DD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C2D1" w14:textId="77777777" w:rsidR="005101EA" w:rsidRDefault="005101EA" w:rsidP="00DD05C5">
      <w:pPr>
        <w:spacing w:after="0" w:line="240" w:lineRule="auto"/>
      </w:pPr>
      <w:r>
        <w:separator/>
      </w:r>
    </w:p>
  </w:footnote>
  <w:footnote w:type="continuationSeparator" w:id="0">
    <w:p w14:paraId="163EDF9F" w14:textId="77777777" w:rsidR="005101EA" w:rsidRDefault="005101EA" w:rsidP="00DD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994E" w14:textId="2B8243BC" w:rsidR="00E86BE9" w:rsidRPr="008D726D" w:rsidRDefault="00342FB1" w:rsidP="00342FB1">
    <w:pPr>
      <w:tabs>
        <w:tab w:val="right" w:pos="9275"/>
      </w:tabs>
      <w:ind w:left="2160"/>
      <w:rPr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rnd" w14:cmpd="sng" w14:algn="ctr">
          <w14:solidFill>
            <w14:srgbClr w14:val="FFCC00"/>
          </w14:solidFill>
          <w14:prstDash w14:val="solid"/>
          <w14:bevel/>
        </w14:textOutline>
      </w:rPr>
    </w:pPr>
    <w:r>
      <w:rPr>
        <w:noProof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rnd" w14:cmpd="sng" w14:algn="ctr">
          <w14:solidFill>
            <w14:srgbClr w14:val="FFCC00"/>
          </w14:solidFill>
          <w14:prstDash w14:val="solid"/>
          <w14:bevel/>
        </w14:textOutline>
      </w:rPr>
      <w:drawing>
        <wp:anchor distT="0" distB="0" distL="114300" distR="114300" simplePos="0" relativeHeight="251661312" behindDoc="0" locked="0" layoutInCell="1" allowOverlap="1" wp14:anchorId="5FD6926D" wp14:editId="105F2F57">
          <wp:simplePos x="0" y="0"/>
          <wp:positionH relativeFrom="column">
            <wp:posOffset>4120515</wp:posOffset>
          </wp:positionH>
          <wp:positionV relativeFrom="paragraph">
            <wp:posOffset>-793750</wp:posOffset>
          </wp:positionV>
          <wp:extent cx="2118360" cy="193548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193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2F29" w:rsidRPr="002D7ECB">
      <w:rPr>
        <w:noProof/>
      </w:rPr>
      <w:drawing>
        <wp:anchor distT="0" distB="0" distL="114300" distR="114300" simplePos="0" relativeHeight="251660288" behindDoc="0" locked="0" layoutInCell="1" allowOverlap="1" wp14:anchorId="1E56FF06" wp14:editId="3EC1C7D1">
          <wp:simplePos x="0" y="0"/>
          <wp:positionH relativeFrom="column">
            <wp:posOffset>353060</wp:posOffset>
          </wp:positionH>
          <wp:positionV relativeFrom="paragraph">
            <wp:posOffset>-340995</wp:posOffset>
          </wp:positionV>
          <wp:extent cx="3483610" cy="287655"/>
          <wp:effectExtent l="0" t="0" r="254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361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6BE9" w:rsidRPr="00E86BE9">
      <w:t xml:space="preserve"> </w:t>
    </w:r>
    <w:r w:rsidR="008D726D">
      <w:t xml:space="preserve">     </w:t>
    </w:r>
    <w:r w:rsidR="008D726D" w:rsidRPr="008D726D">
      <w:rPr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rnd" w14:cmpd="sng" w14:algn="ctr">
          <w14:solidFill>
            <w14:srgbClr w14:val="FFCC00"/>
          </w14:solidFill>
          <w14:prstDash w14:val="solid"/>
          <w14:bevel/>
        </w14:textOutline>
      </w:rPr>
      <w:t xml:space="preserve">Consolidated </w:t>
    </w:r>
    <w:r w:rsidRPr="00036CFE">
      <w:rPr>
        <w:sz w:val="20"/>
        <w:szCs w:val="20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rnd" w14:cmpd="sng" w14:algn="ctr">
          <w14:solidFill>
            <w14:srgbClr w14:val="FFCC00"/>
          </w14:solidFill>
          <w14:prstDash w14:val="solid"/>
          <w14:bevel/>
        </w14:textOutline>
      </w:rPr>
      <w:t>LTD</w:t>
    </w:r>
    <w:r>
      <w:rPr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rnd" w14:cmpd="sng" w14:algn="ctr">
          <w14:solidFill>
            <w14:srgbClr w14:val="FFCC00"/>
          </w14:solidFill>
          <w14:prstDash w14:val="solid"/>
          <w14:bevel/>
        </w14:textOutline>
      </w:rPr>
      <w:tab/>
    </w:r>
    <w:r>
      <w:rPr>
        <w:noProof/>
      </w:rPr>
      <mc:AlternateContent>
        <mc:Choice Requires="wps">
          <w:drawing>
            <wp:inline distT="0" distB="0" distL="0" distR="0" wp14:anchorId="4666CA3C" wp14:editId="1B0E5CC5">
              <wp:extent cx="304800" cy="304800"/>
              <wp:effectExtent l="0" t="0" r="0" b="0"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CFEBF98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662DF27E" w14:textId="6713DEFC" w:rsidR="00DD05C5" w:rsidRDefault="002D7ECB">
    <w:pPr>
      <w:pStyle w:val="Header"/>
    </w:pPr>
    <w:r>
      <w:t xml:space="preserve">                    </w:t>
    </w:r>
    <w:r w:rsidR="008D726D"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992"/>
    <w:multiLevelType w:val="multilevel"/>
    <w:tmpl w:val="4810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4248E"/>
    <w:multiLevelType w:val="multilevel"/>
    <w:tmpl w:val="10B6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A6CAA"/>
    <w:multiLevelType w:val="multilevel"/>
    <w:tmpl w:val="E686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2503A"/>
    <w:multiLevelType w:val="multilevel"/>
    <w:tmpl w:val="0340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0182C"/>
    <w:multiLevelType w:val="multilevel"/>
    <w:tmpl w:val="2192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96261"/>
    <w:multiLevelType w:val="multilevel"/>
    <w:tmpl w:val="CE9C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E6DBD"/>
    <w:multiLevelType w:val="multilevel"/>
    <w:tmpl w:val="8A88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4A1C9B"/>
    <w:multiLevelType w:val="multilevel"/>
    <w:tmpl w:val="4BF4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22E57"/>
    <w:multiLevelType w:val="multilevel"/>
    <w:tmpl w:val="EF26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9080C"/>
    <w:multiLevelType w:val="multilevel"/>
    <w:tmpl w:val="E706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40211"/>
    <w:multiLevelType w:val="multilevel"/>
    <w:tmpl w:val="C934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00E1D"/>
    <w:multiLevelType w:val="multilevel"/>
    <w:tmpl w:val="5766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EB20BE"/>
    <w:multiLevelType w:val="multilevel"/>
    <w:tmpl w:val="B1F6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A606D8"/>
    <w:multiLevelType w:val="multilevel"/>
    <w:tmpl w:val="6848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E502AE"/>
    <w:multiLevelType w:val="multilevel"/>
    <w:tmpl w:val="0BA2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B0010"/>
    <w:multiLevelType w:val="multilevel"/>
    <w:tmpl w:val="3BEE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909086">
    <w:abstractNumId w:val="10"/>
  </w:num>
  <w:num w:numId="2" w16cid:durableId="371927052">
    <w:abstractNumId w:val="11"/>
  </w:num>
  <w:num w:numId="3" w16cid:durableId="2079400133">
    <w:abstractNumId w:val="6"/>
  </w:num>
  <w:num w:numId="4" w16cid:durableId="363943697">
    <w:abstractNumId w:val="12"/>
  </w:num>
  <w:num w:numId="5" w16cid:durableId="1756782017">
    <w:abstractNumId w:val="3"/>
  </w:num>
  <w:num w:numId="6" w16cid:durableId="1431269353">
    <w:abstractNumId w:val="1"/>
  </w:num>
  <w:num w:numId="7" w16cid:durableId="487401951">
    <w:abstractNumId w:val="15"/>
  </w:num>
  <w:num w:numId="8" w16cid:durableId="1380208524">
    <w:abstractNumId w:val="0"/>
  </w:num>
  <w:num w:numId="9" w16cid:durableId="1831552802">
    <w:abstractNumId w:val="14"/>
  </w:num>
  <w:num w:numId="10" w16cid:durableId="1043556441">
    <w:abstractNumId w:val="8"/>
  </w:num>
  <w:num w:numId="11" w16cid:durableId="1091194640">
    <w:abstractNumId w:val="9"/>
  </w:num>
  <w:num w:numId="12" w16cid:durableId="1920941410">
    <w:abstractNumId w:val="13"/>
  </w:num>
  <w:num w:numId="13" w16cid:durableId="1391270763">
    <w:abstractNumId w:val="7"/>
  </w:num>
  <w:num w:numId="14" w16cid:durableId="2098477170">
    <w:abstractNumId w:val="5"/>
  </w:num>
  <w:num w:numId="15" w16cid:durableId="1660771827">
    <w:abstractNumId w:val="4"/>
  </w:num>
  <w:num w:numId="16" w16cid:durableId="165067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73"/>
    <w:rsid w:val="00017933"/>
    <w:rsid w:val="00025D4F"/>
    <w:rsid w:val="00036CFE"/>
    <w:rsid w:val="0029752F"/>
    <w:rsid w:val="002D7ECB"/>
    <w:rsid w:val="00342FB1"/>
    <w:rsid w:val="003654E6"/>
    <w:rsid w:val="00380E2F"/>
    <w:rsid w:val="00407D09"/>
    <w:rsid w:val="005101EA"/>
    <w:rsid w:val="00541273"/>
    <w:rsid w:val="00627F08"/>
    <w:rsid w:val="00691410"/>
    <w:rsid w:val="008D726D"/>
    <w:rsid w:val="009523AB"/>
    <w:rsid w:val="009738AD"/>
    <w:rsid w:val="00A42F29"/>
    <w:rsid w:val="00B30A66"/>
    <w:rsid w:val="00BC46DD"/>
    <w:rsid w:val="00DD05C5"/>
    <w:rsid w:val="00E35385"/>
    <w:rsid w:val="00E86BE9"/>
    <w:rsid w:val="00F32AB4"/>
    <w:rsid w:val="00F7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CE47B"/>
  <w15:chartTrackingRefBased/>
  <w15:docId w15:val="{B24FCFEC-F5AA-45EA-ACE5-E50A75EB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5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70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0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5C5"/>
  </w:style>
  <w:style w:type="paragraph" w:styleId="Footer">
    <w:name w:val="footer"/>
    <w:basedOn w:val="Normal"/>
    <w:link w:val="FooterChar"/>
    <w:uiPriority w:val="99"/>
    <w:unhideWhenUsed/>
    <w:rsid w:val="00DD0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5C5"/>
  </w:style>
  <w:style w:type="paragraph" w:styleId="NoSpacing">
    <w:name w:val="No Spacing"/>
    <w:link w:val="NoSpacingChar"/>
    <w:uiPriority w:val="1"/>
    <w:qFormat/>
    <w:rsid w:val="00380E2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80E2F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enderby</dc:creator>
  <cp:keywords/>
  <dc:description/>
  <cp:lastModifiedBy>derek enderby</cp:lastModifiedBy>
  <cp:revision>2</cp:revision>
  <dcterms:created xsi:type="dcterms:W3CDTF">2026-04-13T12:16:00Z</dcterms:created>
  <dcterms:modified xsi:type="dcterms:W3CDTF">2026-04-13T12:16:00Z</dcterms:modified>
</cp:coreProperties>
</file>